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ascii="Times New Roman" w:hAnsi="Times New Roman"/>
          <w:szCs w:val="32"/>
        </w:rPr>
      </w:pPr>
      <w:r>
        <w:rPr>
          <w:rFonts w:hint="eastAsia" w:ascii="方正小标宋简体" w:hAnsi="Times New Roman" w:eastAsia="方正小标宋简体"/>
          <w:sz w:val="44"/>
          <w:szCs w:val="44"/>
        </w:rPr>
        <w:t>202</w:t>
      </w:r>
      <w:r>
        <w:rPr>
          <w:rFonts w:hint="eastAsia" w:ascii="方正小标宋简体" w:hAnsi="Times New Roman" w:eastAsia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Times New Roman" w:eastAsia="方正小标宋简体"/>
          <w:sz w:val="44"/>
          <w:szCs w:val="44"/>
        </w:rPr>
        <w:t>年度智慧益阳管理中心电费项目资金绩效自评报告</w:t>
      </w:r>
    </w:p>
    <w:p>
      <w:pPr>
        <w:adjustRightInd w:val="0"/>
        <w:snapToGrid w:val="0"/>
        <w:spacing w:line="600" w:lineRule="exact"/>
        <w:ind w:firstLine="632" w:firstLineChars="200"/>
        <w:rPr>
          <w:rFonts w:ascii="黑体" w:hAnsi="黑体" w:eastAsia="黑体"/>
          <w:szCs w:val="32"/>
        </w:rPr>
      </w:pPr>
      <w:r>
        <w:rPr>
          <w:rFonts w:ascii="黑体" w:hAnsi="黑体" w:eastAsia="黑体"/>
          <w:szCs w:val="32"/>
        </w:rPr>
        <w:t>一、项目概况</w:t>
      </w:r>
    </w:p>
    <w:p>
      <w:pPr>
        <w:spacing w:line="580" w:lineRule="exact"/>
        <w:ind w:firstLine="632" w:firstLineChars="200"/>
        <w:rPr>
          <w:rFonts w:hint="default" w:ascii="Times New Roman" w:hAnsi="Times New Roman" w:eastAsia="方正仿宋简体" w:cs="Times New Roman"/>
          <w:szCs w:val="32"/>
        </w:rPr>
      </w:pPr>
      <w:r>
        <w:rPr>
          <w:rFonts w:hint="default" w:ascii="Times New Roman" w:hAnsi="Times New Roman" w:eastAsia="方正仿宋简体" w:cs="Times New Roman"/>
          <w:szCs w:val="32"/>
        </w:rPr>
        <w:t>智慧益阳管理中心共三层，一层为大数据中心机房，二层为应急指挥中心和办公室，三层为12345市热线办公室。中心机房面积1000平米，由5组模块化机柜组成，机柜数量224个。智慧益阳管理中心电费项目：一是为了保障大数据中心机房设备和空调等设施正常运行；二是为了保障应急指挥中心大厅指挥系统、显示屏、电脑等正常工作；三是为了保障12345市长热线正常运转。</w:t>
      </w:r>
    </w:p>
    <w:p>
      <w:pPr>
        <w:numPr>
          <w:ilvl w:val="0"/>
          <w:numId w:val="1"/>
        </w:numPr>
        <w:adjustRightInd w:val="0"/>
        <w:snapToGrid w:val="0"/>
        <w:spacing w:line="600" w:lineRule="exact"/>
        <w:ind w:firstLine="632" w:firstLineChars="200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绩效自评工作开展情况</w:t>
      </w:r>
    </w:p>
    <w:p>
      <w:pPr>
        <w:spacing w:line="580" w:lineRule="exact"/>
        <w:ind w:firstLine="632" w:firstLineChars="200"/>
        <w:rPr>
          <w:rFonts w:ascii="方正仿宋简体" w:hAnsi="方正仿宋简体" w:eastAsia="方正仿宋简体" w:cs="方正仿宋简体"/>
          <w:szCs w:val="32"/>
        </w:rPr>
      </w:pPr>
      <w:r>
        <w:rPr>
          <w:rFonts w:hint="eastAsia" w:ascii="楷体" w:hAnsi="楷体" w:eastAsia="楷体" w:cs="楷体"/>
          <w:szCs w:val="32"/>
        </w:rPr>
        <w:t>（一）绩效评价目的。</w:t>
      </w:r>
      <w:r>
        <w:rPr>
          <w:rFonts w:hint="eastAsia" w:ascii="方正仿宋简体" w:hAnsi="方正仿宋简体" w:eastAsia="方正仿宋简体" w:cs="方正仿宋简体"/>
          <w:szCs w:val="32"/>
        </w:rPr>
        <w:t>通过开展绩效评价，全面了解、分析项目实施程序是否规范，后期维护是否完善，资金使用、管理是否合规，项目绩效目标是否实现，进一步健全相关制度，规范资金使用、管理，加强项目后期运行维护，确保项目正常运行，提高财政资金使用效益。</w:t>
      </w:r>
    </w:p>
    <w:p>
      <w:pPr>
        <w:spacing w:line="580" w:lineRule="exact"/>
        <w:ind w:firstLine="632" w:firstLineChars="200"/>
        <w:rPr>
          <w:rFonts w:hint="default" w:ascii="Times New Roman" w:hAnsi="Times New Roman" w:eastAsia="方正仿宋简体" w:cs="Times New Roman"/>
          <w:szCs w:val="32"/>
        </w:rPr>
      </w:pPr>
      <w:r>
        <w:rPr>
          <w:rFonts w:hint="eastAsia" w:ascii="楷体" w:hAnsi="楷体" w:eastAsia="楷体" w:cs="楷体"/>
          <w:szCs w:val="32"/>
        </w:rPr>
        <w:t>（二）绩效评价过程。</w:t>
      </w:r>
      <w:r>
        <w:rPr>
          <w:rFonts w:hint="default" w:ascii="Times New Roman" w:hAnsi="Times New Roman" w:eastAsia="方正仿宋简体" w:cs="Times New Roman"/>
          <w:szCs w:val="32"/>
        </w:rPr>
        <w:t>根据《益阳市财政局关于开展202</w:t>
      </w:r>
      <w:r>
        <w:rPr>
          <w:rFonts w:hint="eastAsia" w:ascii="Times New Roman" w:hAnsi="Times New Roman" w:eastAsia="方正仿宋简体" w:cs="Times New Roman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简体" w:cs="Times New Roman"/>
          <w:szCs w:val="32"/>
        </w:rPr>
        <w:t>年度部门绩效自评工作的通知》文件要求，我单位成立了绩效评价小组，对202</w:t>
      </w:r>
      <w:r>
        <w:rPr>
          <w:rFonts w:hint="eastAsia" w:ascii="Times New Roman" w:hAnsi="Times New Roman" w:eastAsia="方正仿宋简体" w:cs="Times New Roman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简体" w:cs="Times New Roman"/>
          <w:szCs w:val="32"/>
        </w:rPr>
        <w:t>年度智慧益阳管理中心电费项目开展了绩效自评工作：</w:t>
      </w:r>
    </w:p>
    <w:p>
      <w:pPr>
        <w:spacing w:line="580" w:lineRule="exact"/>
        <w:ind w:firstLine="632" w:firstLineChars="200"/>
        <w:rPr>
          <w:rFonts w:ascii="方正仿宋简体" w:hAnsi="方正仿宋简体" w:eastAsia="方正仿宋简体" w:cs="方正仿宋简体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bCs/>
          <w:szCs w:val="32"/>
        </w:rPr>
        <w:t>1、做好前期准备。</w:t>
      </w:r>
      <w:r>
        <w:rPr>
          <w:rFonts w:hint="eastAsia" w:ascii="方正仿宋简体" w:hAnsi="方正仿宋简体" w:eastAsia="方正仿宋简体" w:cs="方正仿宋简体"/>
          <w:szCs w:val="32"/>
        </w:rPr>
        <w:t>抽调专人成立绩效评价工作小组，明确了工作职责，制定了现场评价方案，联系相关部门单位，确定工作安排。</w:t>
      </w:r>
    </w:p>
    <w:p>
      <w:pPr>
        <w:adjustRightInd w:val="0"/>
        <w:snapToGrid w:val="0"/>
        <w:spacing w:line="600" w:lineRule="exact"/>
        <w:ind w:firstLine="632" w:firstLineChars="200"/>
        <w:rPr>
          <w:rFonts w:ascii="方正仿宋简体" w:hAnsi="方正仿宋简体" w:eastAsia="方正仿宋简体" w:cs="方正仿宋简体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bCs/>
          <w:szCs w:val="32"/>
        </w:rPr>
        <w:t>2、明确实施步骤。</w:t>
      </w:r>
      <w:r>
        <w:rPr>
          <w:rFonts w:hint="default" w:ascii="Times New Roman" w:hAnsi="Times New Roman" w:eastAsia="方正仿宋简体" w:cs="Times New Roman"/>
          <w:szCs w:val="32"/>
        </w:rPr>
        <w:t>（1）召开座谈会。组织分管领导、财务及项目负责人等召开座谈会，听取项目资金使用有关情况介绍；（2）收集核查资料。收集相关制度建设文件，查验项目运行、管理和维护情况等，核查相关制度是否完善，检查财务会计凭证，资金拨付手续是否齐全，是否存在截留、挪用等情况。（3）现场查看。到智慧益阳管理中心数据机房现场查看，走访电力局，查询电费明细，了解数据管理中心机房设备运行情况、电费使用情况及优化建议等。（4）形成结论，撰写评价报告。</w:t>
      </w:r>
    </w:p>
    <w:p>
      <w:pPr>
        <w:numPr>
          <w:ilvl w:val="0"/>
          <w:numId w:val="1"/>
        </w:numPr>
        <w:adjustRightInd w:val="0"/>
        <w:snapToGrid w:val="0"/>
        <w:spacing w:line="600" w:lineRule="exact"/>
        <w:ind w:firstLine="632" w:firstLineChars="200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综合评价结论</w:t>
      </w:r>
    </w:p>
    <w:p>
      <w:pPr>
        <w:adjustRightInd w:val="0"/>
        <w:snapToGrid w:val="0"/>
        <w:spacing w:line="600" w:lineRule="exact"/>
        <w:ind w:firstLine="632" w:firstLineChars="200"/>
        <w:rPr>
          <w:rFonts w:hint="default" w:ascii="Times New Roman" w:hAnsi="Times New Roman" w:eastAsia="方正仿宋简体" w:cs="Times New Roman"/>
          <w:szCs w:val="32"/>
        </w:rPr>
      </w:pPr>
      <w:r>
        <w:rPr>
          <w:rFonts w:hint="default" w:ascii="Times New Roman" w:hAnsi="Times New Roman" w:eastAsia="方正仿宋简体" w:cs="Times New Roman"/>
          <w:szCs w:val="32"/>
        </w:rPr>
        <w:t>该项目资金管理规范、项目管理到位、政策执行有力、有效发挥了财政资金的使用效率，确保了智慧益阳管理中心各项工作的正常运转。该项目自评分为9</w:t>
      </w:r>
      <w:r>
        <w:rPr>
          <w:rFonts w:hint="eastAsia" w:ascii="Times New Roman" w:hAnsi="Times New Roman" w:eastAsia="方正仿宋简体" w:cs="Times New Roman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简体" w:cs="Times New Roman"/>
          <w:szCs w:val="32"/>
        </w:rPr>
        <w:t>分，评价等级为“优秀”。</w:t>
      </w:r>
    </w:p>
    <w:p>
      <w:pPr>
        <w:numPr>
          <w:ilvl w:val="0"/>
          <w:numId w:val="2"/>
        </w:numPr>
        <w:adjustRightInd w:val="0"/>
        <w:snapToGrid w:val="0"/>
        <w:spacing w:line="600" w:lineRule="exact"/>
        <w:ind w:firstLine="632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绩效目标实现情况分析</w:t>
      </w:r>
    </w:p>
    <w:p>
      <w:pPr>
        <w:widowControl/>
        <w:numPr>
          <w:ilvl w:val="0"/>
          <w:numId w:val="3"/>
        </w:numPr>
        <w:spacing w:line="600" w:lineRule="exact"/>
        <w:ind w:firstLine="632" w:firstLineChars="200"/>
        <w:rPr>
          <w:rFonts w:ascii="楷体_GB2312" w:hAnsi="仿宋" w:eastAsia="楷体_GB2312"/>
          <w:szCs w:val="32"/>
        </w:rPr>
      </w:pPr>
      <w:r>
        <w:rPr>
          <w:rFonts w:hint="eastAsia" w:ascii="楷体_GB2312" w:hAnsi="仿宋" w:eastAsia="楷体_GB2312"/>
          <w:szCs w:val="32"/>
        </w:rPr>
        <w:t>项目资金使用及管理情况</w:t>
      </w:r>
    </w:p>
    <w:p>
      <w:pPr>
        <w:adjustRightInd w:val="0"/>
        <w:snapToGrid w:val="0"/>
        <w:spacing w:line="600" w:lineRule="exact"/>
        <w:ind w:firstLine="632" w:firstLineChars="200"/>
        <w:rPr>
          <w:rFonts w:hint="default" w:ascii="Times New Roman" w:hAnsi="Times New Roman" w:eastAsia="方正仿宋简体" w:cs="Times New Roman"/>
          <w:szCs w:val="32"/>
        </w:rPr>
      </w:pPr>
      <w:r>
        <w:rPr>
          <w:rFonts w:hint="default" w:ascii="Times New Roman" w:hAnsi="Times New Roman" w:eastAsia="方正仿宋简体" w:cs="Times New Roman"/>
          <w:szCs w:val="32"/>
        </w:rPr>
        <w:t>202</w:t>
      </w:r>
      <w:r>
        <w:rPr>
          <w:rFonts w:hint="eastAsia" w:ascii="Times New Roman" w:hAnsi="Times New Roman" w:eastAsia="方正仿宋简体" w:cs="Times New Roman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简体" w:cs="Times New Roman"/>
          <w:szCs w:val="32"/>
        </w:rPr>
        <w:t>年财政安排下达智慧城市管理中心电费135万元，</w:t>
      </w:r>
      <w:r>
        <w:rPr>
          <w:rFonts w:hint="eastAsia" w:ascii="Times New Roman" w:hAnsi="Times New Roman" w:eastAsia="方正仿宋简体" w:cs="Times New Roman"/>
          <w:szCs w:val="32"/>
          <w:lang w:eastAsia="zh-CN"/>
        </w:rPr>
        <w:t>年中追加电费</w:t>
      </w:r>
      <w:r>
        <w:rPr>
          <w:rFonts w:hint="eastAsia" w:ascii="Times New Roman" w:hAnsi="Times New Roman" w:eastAsia="方正仿宋简体" w:cs="Times New Roman"/>
          <w:szCs w:val="32"/>
          <w:lang w:val="en-US" w:eastAsia="zh-CN"/>
        </w:rPr>
        <w:t>168万元，</w:t>
      </w:r>
      <w:r>
        <w:rPr>
          <w:rFonts w:hint="default" w:ascii="Times New Roman" w:hAnsi="Times New Roman" w:eastAsia="方正仿宋简体" w:cs="Times New Roman"/>
          <w:szCs w:val="32"/>
        </w:rPr>
        <w:t>资金到位率100%，202</w:t>
      </w:r>
      <w:r>
        <w:rPr>
          <w:rFonts w:hint="eastAsia" w:ascii="Times New Roman" w:hAnsi="Times New Roman" w:eastAsia="方正仿宋简体" w:cs="Times New Roman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简体" w:cs="Times New Roman"/>
          <w:szCs w:val="32"/>
        </w:rPr>
        <w:t>年度智慧城市管理中心电费</w:t>
      </w:r>
      <w:r>
        <w:rPr>
          <w:rFonts w:hint="eastAsia" w:ascii="Times New Roman" w:hAnsi="Times New Roman" w:eastAsia="方正仿宋简体" w:cs="Times New Roman"/>
          <w:szCs w:val="32"/>
          <w:lang w:eastAsia="zh-CN"/>
        </w:rPr>
        <w:t>共</w:t>
      </w:r>
      <w:r>
        <w:rPr>
          <w:rFonts w:hint="default" w:ascii="Times New Roman" w:hAnsi="Times New Roman" w:eastAsia="方正仿宋简体" w:cs="Times New Roman"/>
          <w:szCs w:val="32"/>
        </w:rPr>
        <w:t>支出</w:t>
      </w:r>
      <w:r>
        <w:rPr>
          <w:rFonts w:hint="eastAsia" w:ascii="Times New Roman" w:hAnsi="Times New Roman" w:eastAsia="方正仿宋简体" w:cs="Times New Roman"/>
          <w:szCs w:val="32"/>
          <w:lang w:val="en-US" w:eastAsia="zh-CN"/>
        </w:rPr>
        <w:t>303</w:t>
      </w:r>
      <w:r>
        <w:rPr>
          <w:rFonts w:hint="default" w:ascii="Times New Roman" w:hAnsi="Times New Roman" w:eastAsia="方正仿宋简体" w:cs="Times New Roman"/>
          <w:szCs w:val="32"/>
        </w:rPr>
        <w:t>万元，预算执行率100%。该项目资金专款专用，实行预付制度，根据电力局开据的发票和电费使用明细单进行核销。该项目资金支付程序合规，手续齐全，不存在挤占、截留、挪用资金现象。</w:t>
      </w:r>
    </w:p>
    <w:p>
      <w:pPr>
        <w:widowControl/>
        <w:numPr>
          <w:ilvl w:val="0"/>
          <w:numId w:val="4"/>
        </w:numPr>
        <w:spacing w:line="600" w:lineRule="exact"/>
        <w:ind w:firstLine="632" w:firstLineChars="200"/>
        <w:rPr>
          <w:rFonts w:ascii="楷体_GB2312" w:hAnsi="仿宋" w:eastAsia="楷体_GB2312"/>
          <w:szCs w:val="32"/>
        </w:rPr>
      </w:pPr>
      <w:r>
        <w:rPr>
          <w:rFonts w:hint="eastAsia" w:ascii="楷体_GB2312" w:hAnsi="仿宋" w:eastAsia="楷体_GB2312"/>
          <w:szCs w:val="32"/>
        </w:rPr>
        <w:t>总体绩效目标完成情况分析</w:t>
      </w:r>
    </w:p>
    <w:p>
      <w:pPr>
        <w:adjustRightInd w:val="0"/>
        <w:snapToGrid w:val="0"/>
        <w:spacing w:line="600" w:lineRule="exact"/>
        <w:ind w:firstLine="632" w:firstLineChars="200"/>
        <w:rPr>
          <w:rFonts w:hint="default" w:ascii="Times New Roman" w:hAnsi="Times New Roman" w:eastAsia="方正仿宋简体" w:cs="Times New Roman"/>
          <w:szCs w:val="32"/>
        </w:rPr>
      </w:pPr>
      <w:r>
        <w:rPr>
          <w:rFonts w:hint="eastAsia" w:ascii="Times New Roman" w:hAnsi="Times New Roman" w:eastAsia="方正仿宋简体" w:cs="Times New Roman"/>
          <w:szCs w:val="32"/>
        </w:rPr>
        <w:t>该项目保障保障智慧益阳管理中心大数据机房、电视电话会议室，城市运行指挥中心、市长热线正常运行。为后续政府治理、普惠民生、产业升级等智慧化应用的建设提供可扩展的环境。达到国家节能要求，提高了市民对12345市长热线满意率，为全市政务资源管理、应用支撑、数据共享、服务保障提供了电力保障。</w:t>
      </w:r>
    </w:p>
    <w:p>
      <w:pPr>
        <w:widowControl/>
        <w:spacing w:line="600" w:lineRule="exact"/>
        <w:ind w:firstLine="632" w:firstLineChars="200"/>
        <w:rPr>
          <w:rFonts w:ascii="楷体_GB2312" w:hAnsi="仿宋" w:eastAsia="楷体_GB2312"/>
          <w:szCs w:val="32"/>
        </w:rPr>
      </w:pPr>
      <w:r>
        <w:rPr>
          <w:rFonts w:hint="eastAsia" w:ascii="楷体_GB2312" w:hAnsi="仿宋" w:eastAsia="楷体_GB2312"/>
          <w:szCs w:val="32"/>
        </w:rPr>
        <w:t>（三）绩效指标完成情况分析</w:t>
      </w:r>
    </w:p>
    <w:p>
      <w:pPr>
        <w:adjustRightInd w:val="0"/>
        <w:snapToGrid w:val="0"/>
        <w:spacing w:line="600" w:lineRule="exact"/>
        <w:ind w:firstLine="632" w:firstLineChars="200"/>
        <w:rPr>
          <w:rFonts w:hint="default" w:ascii="Times New Roman" w:hAnsi="Times New Roman" w:eastAsia="方正仿宋简体" w:cs="Times New Roman"/>
          <w:szCs w:val="32"/>
        </w:rPr>
      </w:pPr>
      <w:r>
        <w:rPr>
          <w:rFonts w:hint="default" w:ascii="Times New Roman" w:hAnsi="Times New Roman" w:eastAsia="方正仿宋简体" w:cs="Times New Roman"/>
          <w:szCs w:val="32"/>
        </w:rPr>
        <w:t>1.经济效益方面。通过安装LED节能全彩屏设备，在市直部门接入设备不断增加的情况下节省了电费支出。2.效率性方面。智慧益阳管理中心电费项目保障24小时内故障处理及时率达到100%，安全运行率达到100%，全年未出现安全事故。3.有效性方面。保障了</w:t>
      </w:r>
      <w:r>
        <w:rPr>
          <w:rFonts w:hint="eastAsia" w:ascii="Times New Roman" w:hAnsi="Times New Roman" w:eastAsia="方正仿宋简体" w:cs="Times New Roman"/>
          <w:szCs w:val="32"/>
          <w:lang w:eastAsia="zh-CN"/>
        </w:rPr>
        <w:t>城市运行</w:t>
      </w:r>
      <w:r>
        <w:rPr>
          <w:rFonts w:hint="default" w:ascii="Times New Roman" w:hAnsi="Times New Roman" w:eastAsia="方正仿宋简体" w:cs="Times New Roman"/>
          <w:szCs w:val="32"/>
        </w:rPr>
        <w:t>指挥大厅、12345市长热线、大数据中心机房等用电需求，提高了各部门工作效率。4.可持续性方面。智慧益阳管理中心电费项目关系到全市各部门业务数据的管理、安全运行，后续随着智慧城市和大数据的建设，该项目将继续保障数据机房、市长热线等用电安全。</w:t>
      </w:r>
    </w:p>
    <w:p>
      <w:pPr>
        <w:numPr>
          <w:ilvl w:val="0"/>
          <w:numId w:val="2"/>
        </w:numPr>
        <w:adjustRightInd w:val="0"/>
        <w:snapToGrid w:val="0"/>
        <w:spacing w:line="600" w:lineRule="exact"/>
        <w:ind w:firstLine="632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存在的问题和改进措施</w:t>
      </w:r>
    </w:p>
    <w:p>
      <w:pPr>
        <w:adjustRightInd w:val="0"/>
        <w:snapToGrid w:val="0"/>
        <w:spacing w:line="600" w:lineRule="exact"/>
        <w:ind w:firstLine="632" w:firstLineChars="200"/>
        <w:rPr>
          <w:rFonts w:hint="default" w:ascii="Times New Roman" w:hAnsi="Times New Roman" w:eastAsia="方正仿宋简体" w:cs="Times New Roman"/>
          <w:szCs w:val="32"/>
        </w:rPr>
      </w:pPr>
      <w:r>
        <w:rPr>
          <w:rFonts w:hint="eastAsia" w:ascii="Times New Roman" w:hAnsi="Times New Roman" w:eastAsia="方正仿宋简体" w:cs="Times New Roman"/>
          <w:szCs w:val="32"/>
        </w:rPr>
        <w:t>随着市直部门接入机房设备不断增加，耗用电量逐年增长，需整合资源实现降费节能。改进措施：1、出台基础设施节能方案，提高设备容量利用率；2、降低机房能耗管理，高度整合、资源共享；3、对机房设备进行监控管理，优化管理模式。</w:t>
      </w:r>
    </w:p>
    <w:p>
      <w:pPr>
        <w:numPr>
          <w:ilvl w:val="0"/>
          <w:numId w:val="2"/>
        </w:numPr>
        <w:adjustRightInd w:val="0"/>
        <w:snapToGrid w:val="0"/>
        <w:spacing w:line="600" w:lineRule="exact"/>
        <w:ind w:firstLine="632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绩效自评结果拟应用和公开情况</w:t>
      </w:r>
    </w:p>
    <w:p>
      <w:pPr>
        <w:adjustRightInd w:val="0"/>
        <w:snapToGrid w:val="0"/>
        <w:spacing w:line="600" w:lineRule="exact"/>
        <w:ind w:firstLine="632" w:firstLineChars="200"/>
        <w:rPr>
          <w:rFonts w:ascii="仿宋_GB2312" w:hAnsi="仿宋"/>
          <w:szCs w:val="32"/>
        </w:rPr>
      </w:pPr>
      <w:r>
        <w:rPr>
          <w:rFonts w:hint="eastAsia" w:ascii="Times New Roman" w:hAnsi="Times New Roman" w:eastAsia="方正仿宋简体" w:cs="Times New Roman"/>
          <w:szCs w:val="32"/>
        </w:rPr>
        <w:t>我单位将继续认真履职，通过电费市场调研、电费成本监审、电费信息公开及宣传等相关工作，按市财政局要求完成绩效自评工作，并将自评结果运用于实际工作，将绩效自评结果进行公开</w:t>
      </w:r>
      <w:r>
        <w:rPr>
          <w:rFonts w:hint="eastAsia" w:ascii="仿宋_GB2312" w:hAnsi="仿宋"/>
          <w:szCs w:val="32"/>
        </w:rPr>
        <w:t>。</w:t>
      </w:r>
    </w:p>
    <w:p>
      <w:pPr>
        <w:widowControl/>
        <w:spacing w:line="600" w:lineRule="exact"/>
        <w:ind w:firstLine="645"/>
        <w:jc w:val="left"/>
        <w:rPr>
          <w:rFonts w:ascii="仿宋" w:hAnsi="仿宋" w:eastAsia="仿宋"/>
          <w:szCs w:val="32"/>
        </w:rPr>
      </w:pPr>
    </w:p>
    <w:p>
      <w:pPr>
        <w:adjustRightInd w:val="0"/>
        <w:snapToGrid w:val="0"/>
        <w:spacing w:line="600" w:lineRule="exact"/>
        <w:ind w:firstLine="632" w:firstLineChars="200"/>
        <w:rPr>
          <w:rFonts w:hint="eastAsia" w:ascii="Times New Roman" w:hAnsi="Times New Roman" w:eastAsia="方正仿宋简体" w:cs="Times New Roman"/>
          <w:szCs w:val="32"/>
        </w:rPr>
      </w:pPr>
      <w:r>
        <w:rPr>
          <w:rFonts w:hint="eastAsia" w:ascii="Times New Roman" w:hAnsi="Times New Roman" w:eastAsia="方正仿宋简体" w:cs="Times New Roman"/>
          <w:szCs w:val="32"/>
        </w:rPr>
        <w:t>附件：202</w:t>
      </w:r>
      <w:r>
        <w:rPr>
          <w:rFonts w:hint="eastAsia" w:ascii="Times New Roman" w:hAnsi="Times New Roman" w:eastAsia="方正仿宋简体" w:cs="Times New Roman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简体" w:cs="Times New Roman"/>
          <w:szCs w:val="32"/>
        </w:rPr>
        <w:t>年度项目支出绩效自评表</w:t>
      </w:r>
    </w:p>
    <w:p>
      <w:pPr>
        <w:widowControl/>
        <w:spacing w:line="600" w:lineRule="exact"/>
        <w:ind w:firstLine="632" w:firstLineChars="200"/>
        <w:rPr>
          <w:rFonts w:ascii="仿宋_GB2312" w:hAnsi="仿宋"/>
          <w:szCs w:val="32"/>
        </w:rPr>
      </w:pPr>
    </w:p>
    <w:p>
      <w:pPr>
        <w:widowControl/>
        <w:spacing w:line="600" w:lineRule="exact"/>
        <w:ind w:firstLine="632" w:firstLineChars="200"/>
        <w:rPr>
          <w:rFonts w:ascii="仿宋_GB2312" w:hAnsi="仿宋"/>
          <w:szCs w:val="32"/>
        </w:rPr>
      </w:pPr>
    </w:p>
    <w:p>
      <w:pPr>
        <w:widowControl/>
        <w:spacing w:line="600" w:lineRule="exact"/>
        <w:ind w:firstLine="632" w:firstLineChars="200"/>
        <w:rPr>
          <w:rFonts w:ascii="仿宋_GB2312" w:hAnsi="仿宋"/>
          <w:szCs w:val="32"/>
        </w:rPr>
      </w:pPr>
    </w:p>
    <w:p>
      <w:pPr>
        <w:widowControl/>
        <w:spacing w:line="600" w:lineRule="exact"/>
        <w:ind w:firstLine="632" w:firstLineChars="200"/>
        <w:rPr>
          <w:rFonts w:ascii="仿宋_GB2312" w:hAnsi="仿宋"/>
          <w:szCs w:val="32"/>
        </w:rPr>
      </w:pPr>
    </w:p>
    <w:p>
      <w:pPr>
        <w:widowControl/>
        <w:spacing w:line="600" w:lineRule="exact"/>
        <w:ind w:firstLine="632" w:firstLineChars="200"/>
        <w:rPr>
          <w:rFonts w:ascii="仿宋_GB2312" w:hAnsi="仿宋"/>
          <w:szCs w:val="32"/>
        </w:rPr>
      </w:pPr>
    </w:p>
    <w:p>
      <w:pPr>
        <w:widowControl/>
        <w:spacing w:line="600" w:lineRule="exact"/>
        <w:ind w:firstLine="632" w:firstLineChars="200"/>
        <w:rPr>
          <w:rFonts w:ascii="仿宋_GB2312" w:hAnsi="仿宋"/>
          <w:szCs w:val="32"/>
        </w:rPr>
      </w:pPr>
    </w:p>
    <w:p>
      <w:pPr>
        <w:widowControl/>
        <w:spacing w:line="600" w:lineRule="exact"/>
        <w:ind w:firstLine="632" w:firstLineChars="200"/>
        <w:rPr>
          <w:rFonts w:ascii="仿宋_GB2312" w:hAnsi="仿宋"/>
          <w:szCs w:val="32"/>
        </w:rPr>
      </w:pPr>
    </w:p>
    <w:p>
      <w:pPr>
        <w:widowControl/>
        <w:spacing w:line="600" w:lineRule="exact"/>
        <w:ind w:firstLine="632" w:firstLineChars="200"/>
        <w:rPr>
          <w:rFonts w:ascii="仿宋_GB2312" w:hAnsi="仿宋"/>
          <w:szCs w:val="32"/>
        </w:rPr>
      </w:pPr>
    </w:p>
    <w:p>
      <w:pPr>
        <w:widowControl/>
        <w:spacing w:line="600" w:lineRule="exact"/>
        <w:ind w:firstLine="632" w:firstLineChars="200"/>
        <w:rPr>
          <w:rFonts w:ascii="仿宋_GB2312" w:hAnsi="仿宋"/>
          <w:szCs w:val="32"/>
        </w:rPr>
      </w:pPr>
    </w:p>
    <w:p>
      <w:pPr>
        <w:widowControl/>
        <w:spacing w:line="600" w:lineRule="exact"/>
        <w:ind w:firstLine="632" w:firstLineChars="200"/>
        <w:rPr>
          <w:rFonts w:ascii="仿宋_GB2312" w:hAnsi="仿宋"/>
          <w:szCs w:val="32"/>
        </w:rPr>
      </w:pPr>
    </w:p>
    <w:p>
      <w:pPr>
        <w:widowControl/>
        <w:spacing w:line="600" w:lineRule="exact"/>
        <w:ind w:firstLine="632" w:firstLineChars="200"/>
        <w:rPr>
          <w:rFonts w:ascii="仿宋_GB2312" w:hAnsi="仿宋"/>
          <w:szCs w:val="32"/>
        </w:rPr>
      </w:pPr>
    </w:p>
    <w:p>
      <w:pPr>
        <w:widowControl/>
        <w:spacing w:line="600" w:lineRule="exact"/>
        <w:ind w:firstLine="632" w:firstLineChars="200"/>
        <w:rPr>
          <w:rFonts w:ascii="仿宋_GB2312" w:hAnsi="仿宋"/>
          <w:szCs w:val="32"/>
        </w:rPr>
      </w:pPr>
    </w:p>
    <w:p>
      <w:pPr>
        <w:widowControl/>
        <w:spacing w:line="600" w:lineRule="exact"/>
        <w:ind w:firstLine="632" w:firstLineChars="200"/>
        <w:rPr>
          <w:rFonts w:ascii="仿宋_GB2312" w:hAnsi="仿宋"/>
          <w:szCs w:val="32"/>
        </w:rPr>
      </w:pPr>
    </w:p>
    <w:p>
      <w:pPr>
        <w:widowControl/>
        <w:spacing w:line="400" w:lineRule="exact"/>
        <w:jc w:val="left"/>
        <w:rPr>
          <w:rFonts w:ascii="黑体" w:hAnsi="黑体" w:eastAsia="黑体"/>
          <w:sz w:val="30"/>
          <w:szCs w:val="30"/>
        </w:rPr>
      </w:pPr>
    </w:p>
    <w:p>
      <w:pPr>
        <w:widowControl/>
        <w:spacing w:line="400" w:lineRule="exact"/>
        <w:jc w:val="left"/>
        <w:rPr>
          <w:rFonts w:ascii="黑体" w:hAnsi="黑体" w:eastAsia="黑体"/>
          <w:sz w:val="30"/>
          <w:szCs w:val="30"/>
        </w:rPr>
      </w:pPr>
    </w:p>
    <w:p>
      <w:pPr>
        <w:spacing w:line="400" w:lineRule="exact"/>
        <w:jc w:val="center"/>
        <w:rPr>
          <w:rFonts w:ascii="方正小标宋简体" w:eastAsia="方正小标宋简体"/>
          <w:kern w:val="0"/>
          <w:sz w:val="30"/>
          <w:szCs w:val="30"/>
        </w:rPr>
      </w:pPr>
      <w:r>
        <w:rPr>
          <w:rFonts w:ascii="方正小标宋简体" w:eastAsia="方正小标宋简体"/>
          <w:kern w:val="0"/>
          <w:sz w:val="30"/>
          <w:szCs w:val="30"/>
        </w:rPr>
        <w:t>202</w:t>
      </w:r>
      <w:r>
        <w:rPr>
          <w:rFonts w:hint="eastAsia" w:ascii="方正小标宋简体" w:eastAsia="方正小标宋简体"/>
          <w:kern w:val="0"/>
          <w:sz w:val="30"/>
          <w:szCs w:val="30"/>
          <w:lang w:val="en-US" w:eastAsia="zh-CN"/>
        </w:rPr>
        <w:t>2</w:t>
      </w:r>
      <w:r>
        <w:rPr>
          <w:rFonts w:ascii="方正小标宋简体" w:eastAsia="方正小标宋简体"/>
          <w:kern w:val="0"/>
          <w:sz w:val="30"/>
          <w:szCs w:val="30"/>
        </w:rPr>
        <w:t>年度项目支出绩效自评表</w:t>
      </w:r>
    </w:p>
    <w:tbl>
      <w:tblPr>
        <w:tblStyle w:val="6"/>
        <w:tblW w:w="1009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1080"/>
        <w:gridCol w:w="1080"/>
        <w:gridCol w:w="1224"/>
        <w:gridCol w:w="1134"/>
        <w:gridCol w:w="1134"/>
        <w:gridCol w:w="828"/>
        <w:gridCol w:w="873"/>
        <w:gridCol w:w="15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892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智慧益阳管理中心电费</w:t>
            </w: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主管部门</w:t>
            </w:r>
          </w:p>
        </w:tc>
        <w:tc>
          <w:tcPr>
            <w:tcW w:w="45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益阳市</w:t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eastAsia="zh-CN"/>
              </w:rPr>
              <w:t>政务管理</w:t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服务局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实施单位</w:t>
            </w:r>
          </w:p>
        </w:tc>
        <w:tc>
          <w:tcPr>
            <w:tcW w:w="32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益阳市智慧城市和大数据中心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17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项目资金</w:t>
            </w: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年初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预算数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全年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预算数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全年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执行数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分值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执行率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年度资金总额　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  <w:t>303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100%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其中：当年财政拨款　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  <w:t>303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100%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17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618" w:firstLineChars="300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上年结转资金　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618" w:firstLineChars="300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其他资金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117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年度总体目标</w:t>
            </w:r>
          </w:p>
        </w:tc>
        <w:tc>
          <w:tcPr>
            <w:tcW w:w="45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预期目标</w:t>
            </w:r>
          </w:p>
        </w:tc>
        <w:tc>
          <w:tcPr>
            <w:tcW w:w="44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实际完成情况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  <w:jc w:val="center"/>
        </w:trPr>
        <w:tc>
          <w:tcPr>
            <w:tcW w:w="117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5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保障智慧城市建设项目电力供应，提高政府服务能力，为后续政府治理、普惠民生、产业升级等智慧化应用的建设提供可扩展的环境。</w:t>
            </w:r>
          </w:p>
        </w:tc>
        <w:tc>
          <w:tcPr>
            <w:tcW w:w="44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eastAsia="zh-CN"/>
              </w:rPr>
              <w:t>保障智慧益阳管理中心大数据机房、电视电话会议室，城市运行指挥中心、市长热线正常运行。为后续政府治理、普惠民生、产业升级等智慧化应用的建设提供可扩展的环境。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17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绩</w:t>
            </w:r>
          </w:p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效</w:t>
            </w:r>
          </w:p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指</w:t>
            </w:r>
          </w:p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三级指标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指标值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完成值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分值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得分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11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产出指标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(50分)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数量指标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保障机柜电力供应数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  <w:t>224个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  <w:t>224个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11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保障精密空调电力供应数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30</w:t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eastAsia="zh-CN"/>
              </w:rPr>
              <w:t>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30</w:t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eastAsia="zh-CN"/>
              </w:rPr>
              <w:t>台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11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照明灯数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300</w:t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eastAsia="zh-CN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300</w:t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eastAsia="zh-CN"/>
              </w:rPr>
              <w:t>个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质量指标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12345市长热线电力供应</w:t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eastAsia="zh-CN"/>
              </w:rPr>
              <w:t>能力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eastAsia="zh-CN"/>
              </w:rPr>
              <w:t>持续加强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eastAsia="zh-CN"/>
              </w:rPr>
              <w:t>持续加强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2" w:hRule="atLeast"/>
          <w:jc w:val="center"/>
        </w:trPr>
        <w:tc>
          <w:tcPr>
            <w:tcW w:w="11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为全市政务资源管理、应用支撑、数据共享、服务保障提供电力保障</w:t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eastAsia="zh-CN"/>
              </w:rPr>
              <w:t>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100%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eastAsia="zh-CN"/>
              </w:rPr>
              <w:t>城市运行指挥中心使用稳定率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eastAsia="zh-CN"/>
              </w:rPr>
              <w:t>保持稳定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eastAsia="zh-CN"/>
              </w:rPr>
              <w:t>保持稳定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成本指标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eastAsia="zh-CN"/>
              </w:rPr>
              <w:t>电费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  <w:t>303万/元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  <w:t>303万/元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效益指标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（</w:t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  <w:t>40</w:t>
            </w: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分）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经济效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益指标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</w:rPr>
              <w:t>　</w:t>
            </w:r>
            <w:r>
              <w:rPr>
                <w:rFonts w:hint="eastAsia" w:ascii="Times New Roman" w:hAnsi="Times New Roman" w:eastAsia="仿宋_GB2312"/>
                <w:b w:val="0"/>
                <w:bCs w:val="0"/>
                <w:color w:val="000000"/>
                <w:kern w:val="0"/>
                <w:sz w:val="22"/>
              </w:rPr>
              <w:t>电量节能</w:t>
            </w:r>
            <w:r>
              <w:rPr>
                <w:rFonts w:hint="eastAsia" w:ascii="Times New Roman" w:hAnsi="Times New Roman" w:eastAsia="仿宋_GB2312"/>
                <w:b w:val="0"/>
                <w:bCs w:val="0"/>
                <w:color w:val="000000"/>
                <w:kern w:val="0"/>
                <w:sz w:val="22"/>
                <w:lang w:eastAsia="zh-CN"/>
              </w:rPr>
              <w:t>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lang w:eastAsia="zh-CN"/>
              </w:rPr>
              <w:t>≥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2"/>
              </w:rPr>
              <w:t>5%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lang w:eastAsia="zh-CN"/>
              </w:rPr>
              <w:t>≥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2"/>
              </w:rPr>
              <w:t>%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市直部门接入机房设备不断增加，耗用电量增长，需整合资源实现节能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1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社会效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益指标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重大会议正常运转率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100%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服务对象满意度指标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市民对12345市长热线满意率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95%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加强服务意识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68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总分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100</w:t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eastAsia="zh-CN"/>
              </w:rPr>
              <w:t>分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  <w:t>98分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</w:tbl>
    <w:tbl>
      <w:tblPr>
        <w:tblStyle w:val="7"/>
        <w:tblpPr w:leftFromText="180" w:rightFromText="180" w:vertAnchor="text" w:tblpX="10484" w:tblpY="5412"/>
        <w:tblOverlap w:val="never"/>
        <w:tblW w:w="15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" w:hRule="atLeast"/>
        </w:trPr>
        <w:tc>
          <w:tcPr>
            <w:tcW w:w="1581" w:type="dxa"/>
          </w:tcPr>
          <w:p>
            <w:pPr>
              <w:rPr>
                <w:rFonts w:ascii="Times New Roman" w:hAnsi="Times New Roman"/>
                <w:kern w:val="0"/>
                <w:sz w:val="22"/>
                <w:szCs w:val="22"/>
                <w:vertAlign w:val="baseline"/>
              </w:rPr>
            </w:pPr>
          </w:p>
        </w:tc>
      </w:tr>
    </w:tbl>
    <w:p>
      <w:r>
        <w:rPr>
          <w:rFonts w:ascii="Times New Roman" w:hAnsi="Times New Roman"/>
          <w:kern w:val="0"/>
          <w:sz w:val="22"/>
          <w:szCs w:val="22"/>
        </w:rPr>
        <w:t>填表人：</w:t>
      </w:r>
      <w:r>
        <w:rPr>
          <w:rFonts w:hint="eastAsia" w:ascii="Times New Roman" w:hAnsi="Times New Roman"/>
          <w:kern w:val="0"/>
          <w:sz w:val="22"/>
          <w:szCs w:val="22"/>
          <w:lang w:eastAsia="zh-CN"/>
        </w:rPr>
        <w:t>唐娟</w:t>
      </w:r>
      <w:r>
        <w:rPr>
          <w:rFonts w:hint="eastAsia" w:ascii="Times New Roman" w:hAnsi="Times New Roman"/>
          <w:kern w:val="0"/>
          <w:sz w:val="22"/>
          <w:szCs w:val="22"/>
        </w:rPr>
        <w:t xml:space="preserve">  </w:t>
      </w:r>
      <w:r>
        <w:rPr>
          <w:rFonts w:ascii="Times New Roman" w:hAnsi="Times New Roman"/>
          <w:kern w:val="0"/>
          <w:sz w:val="22"/>
          <w:szCs w:val="22"/>
        </w:rPr>
        <w:t>填报日期：</w:t>
      </w:r>
      <w:r>
        <w:rPr>
          <w:rFonts w:hint="eastAsia" w:ascii="Times New Roman" w:hAnsi="Times New Roman"/>
          <w:kern w:val="0"/>
          <w:sz w:val="22"/>
          <w:szCs w:val="22"/>
          <w:lang w:val="en-US" w:eastAsia="zh-CN"/>
        </w:rPr>
        <w:t>3</w:t>
      </w:r>
      <w:r>
        <w:rPr>
          <w:rFonts w:hint="eastAsia" w:ascii="Times New Roman" w:hAnsi="Times New Roman"/>
          <w:kern w:val="0"/>
          <w:sz w:val="22"/>
          <w:szCs w:val="22"/>
        </w:rPr>
        <w:t>月</w:t>
      </w:r>
      <w:r>
        <w:rPr>
          <w:rFonts w:hint="eastAsia" w:ascii="Times New Roman" w:hAnsi="Times New Roman"/>
          <w:kern w:val="0"/>
          <w:sz w:val="22"/>
          <w:szCs w:val="22"/>
          <w:lang w:val="en-US" w:eastAsia="zh-CN"/>
        </w:rPr>
        <w:t>14</w:t>
      </w:r>
      <w:r>
        <w:rPr>
          <w:rFonts w:hint="eastAsia" w:ascii="Times New Roman" w:hAnsi="Times New Roman"/>
          <w:kern w:val="0"/>
          <w:sz w:val="22"/>
          <w:szCs w:val="22"/>
        </w:rPr>
        <w:t xml:space="preserve">日  </w:t>
      </w:r>
      <w:r>
        <w:rPr>
          <w:rFonts w:ascii="Times New Roman" w:hAnsi="Times New Roman"/>
          <w:kern w:val="0"/>
          <w:sz w:val="22"/>
          <w:szCs w:val="22"/>
        </w:rPr>
        <w:t xml:space="preserve"> 联系电话：</w:t>
      </w:r>
      <w:r>
        <w:rPr>
          <w:rFonts w:hint="eastAsia" w:ascii="Times New Roman" w:hAnsi="Times New Roman"/>
          <w:kern w:val="0"/>
          <w:sz w:val="22"/>
          <w:szCs w:val="22"/>
          <w:lang w:val="en-US" w:eastAsia="zh-CN"/>
        </w:rPr>
        <w:t>19173778678</w:t>
      </w:r>
      <w:r>
        <w:rPr>
          <w:rFonts w:ascii="Times New Roman" w:hAnsi="Times New Roman"/>
          <w:kern w:val="0"/>
          <w:sz w:val="22"/>
          <w:szCs w:val="22"/>
        </w:rPr>
        <w:t xml:space="preserve"> </w:t>
      </w:r>
      <w:r>
        <w:rPr>
          <w:rFonts w:hint="eastAsia" w:ascii="Times New Roman" w:hAnsi="Times New Roman"/>
          <w:kern w:val="0"/>
          <w:sz w:val="22"/>
          <w:szCs w:val="22"/>
        </w:rPr>
        <w:t xml:space="preserve"> </w:t>
      </w:r>
      <w:r>
        <w:rPr>
          <w:rFonts w:ascii="Times New Roman" w:hAnsi="Times New Roman"/>
          <w:kern w:val="0"/>
          <w:sz w:val="22"/>
          <w:szCs w:val="22"/>
        </w:rPr>
        <w:t>单位负责人签</w:t>
      </w:r>
      <w:r>
        <w:rPr>
          <w:rFonts w:hint="eastAsia" w:ascii="Times New Roman" w:hAnsi="Times New Roman"/>
          <w:kern w:val="0"/>
          <w:sz w:val="22"/>
          <w:szCs w:val="22"/>
        </w:rPr>
        <w:t>字：</w:t>
      </w:r>
    </w:p>
    <w:p>
      <w:bookmarkStart w:id="0" w:name="_GoBack"/>
      <w:bookmarkEnd w:id="0"/>
    </w:p>
    <w:p/>
    <w:sectPr>
      <w:footerReference r:id="rId3" w:type="default"/>
      <w:footerReference r:id="rId4" w:type="even"/>
      <w:pgSz w:w="11907" w:h="16840"/>
      <w:pgMar w:top="2041" w:right="1531" w:bottom="1871" w:left="1531" w:header="851" w:footer="1304" w:gutter="0"/>
      <w:cols w:space="720" w:num="1"/>
      <w:docGrid w:type="linesAndChars" w:linePitch="587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  <w:jc w:val="right"/>
      <w:rPr>
        <w:sz w:val="28"/>
      </w:rPr>
    </w:pPr>
    <w:r>
      <w:rPr>
        <w:sz w:val="28"/>
      </w:rP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ind w:right="335"/>
                  <w:rPr>
                    <w:rStyle w:val="10"/>
                    <w:rFonts w:ascii="宋体" w:hAnsi="宋体" w:eastAsia="宋体"/>
                    <w:sz w:val="28"/>
                  </w:rPr>
                </w:pPr>
                <w:r>
                  <w:rPr>
                    <w:rStyle w:val="10"/>
                    <w:rFonts w:hint="eastAsia" w:ascii="宋体" w:hAnsi="宋体" w:eastAsia="宋体"/>
                    <w:sz w:val="28"/>
                  </w:rPr>
                  <w:t>—</w:t>
                </w:r>
                <w:r>
                  <w:rPr>
                    <w:rFonts w:ascii="宋体" w:hAnsi="宋体" w:eastAsia="宋体"/>
                    <w:sz w:val="28"/>
                  </w:rPr>
                  <w:fldChar w:fldCharType="begin"/>
                </w:r>
                <w:r>
                  <w:rPr>
                    <w:rStyle w:val="10"/>
                    <w:rFonts w:ascii="宋体" w:hAnsi="宋体" w:eastAsia="宋体"/>
                    <w:sz w:val="28"/>
                  </w:rPr>
                  <w:instrText xml:space="preserve">PAGE  </w:instrText>
                </w:r>
                <w:r>
                  <w:rPr>
                    <w:rFonts w:ascii="宋体" w:hAnsi="宋体" w:eastAsia="宋体"/>
                    <w:sz w:val="28"/>
                  </w:rPr>
                  <w:fldChar w:fldCharType="separate"/>
                </w:r>
                <w:r>
                  <w:rPr>
                    <w:rStyle w:val="10"/>
                    <w:rFonts w:ascii="宋体" w:hAnsi="宋体" w:eastAsia="宋体"/>
                    <w:sz w:val="28"/>
                  </w:rPr>
                  <w:t>6</w:t>
                </w:r>
                <w:r>
                  <w:rPr>
                    <w:rFonts w:ascii="宋体" w:hAnsi="宋体" w:eastAsia="宋体"/>
                    <w:sz w:val="28"/>
                  </w:rPr>
                  <w:fldChar w:fldCharType="end"/>
                </w:r>
                <w:r>
                  <w:rPr>
                    <w:rStyle w:val="10"/>
                    <w:rFonts w:hint="eastAsia" w:ascii="宋体" w:hAnsi="宋体" w:eastAsia="宋体"/>
                    <w:sz w:val="28"/>
                  </w:rPr>
                  <w:t>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335"/>
      <w:rPr>
        <w:rStyle w:val="10"/>
        <w:rFonts w:ascii="宋体" w:hAnsi="宋体" w:eastAsia="宋体"/>
        <w:sz w:val="28"/>
      </w:rPr>
    </w:pPr>
    <w:r>
      <w:rPr>
        <w:rStyle w:val="10"/>
        <w:rFonts w:hint="eastAsia" w:ascii="宋体" w:hAnsi="宋体" w:eastAsia="宋体"/>
        <w:sz w:val="28"/>
      </w:rPr>
      <w:t>—</w:t>
    </w:r>
    <w:r>
      <w:rPr>
        <w:rFonts w:ascii="宋体" w:hAnsi="宋体" w:eastAsia="宋体"/>
        <w:sz w:val="28"/>
      </w:rPr>
      <w:fldChar w:fldCharType="begin"/>
    </w:r>
    <w:r>
      <w:rPr>
        <w:rStyle w:val="10"/>
        <w:rFonts w:ascii="宋体" w:hAnsi="宋体" w:eastAsia="宋体"/>
        <w:sz w:val="28"/>
      </w:rPr>
      <w:instrText xml:space="preserve">PAGE  </w:instrText>
    </w:r>
    <w:r>
      <w:rPr>
        <w:rFonts w:ascii="宋体" w:hAnsi="宋体" w:eastAsia="宋体"/>
        <w:sz w:val="28"/>
      </w:rPr>
      <w:fldChar w:fldCharType="separate"/>
    </w:r>
    <w:r>
      <w:rPr>
        <w:rStyle w:val="10"/>
        <w:rFonts w:ascii="宋体" w:hAnsi="宋体" w:eastAsia="宋体"/>
        <w:sz w:val="28"/>
      </w:rPr>
      <w:t>8</w:t>
    </w:r>
    <w:r>
      <w:rPr>
        <w:rFonts w:ascii="宋体" w:hAnsi="宋体" w:eastAsia="宋体"/>
        <w:sz w:val="28"/>
      </w:rPr>
      <w:fldChar w:fldCharType="end"/>
    </w:r>
    <w:r>
      <w:rPr>
        <w:rStyle w:val="10"/>
        <w:rFonts w:hint="eastAsia" w:ascii="宋体" w:hAnsi="宋体" w:eastAsia="宋体"/>
        <w:sz w:val="28"/>
      </w:rPr>
      <w:t>—</w:t>
    </w:r>
  </w:p>
  <w:p>
    <w:pPr>
      <w:pStyle w:val="3"/>
      <w:ind w:left="300" w:right="360" w:firstLine="360"/>
      <w:rPr>
        <w:sz w:val="28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CCF2C08"/>
    <w:multiLevelType w:val="singleLevel"/>
    <w:tmpl w:val="BCCF2C08"/>
    <w:lvl w:ilvl="0" w:tentative="0">
      <w:start w:val="4"/>
      <w:numFmt w:val="chineseCounting"/>
      <w:suff w:val="nothing"/>
      <w:lvlText w:val="%1、"/>
      <w:lvlJc w:val="left"/>
      <w:pPr>
        <w:ind w:left="-2"/>
      </w:pPr>
      <w:rPr>
        <w:rFonts w:hint="eastAsia"/>
      </w:rPr>
    </w:lvl>
  </w:abstractNum>
  <w:abstractNum w:abstractNumId="1">
    <w:nsid w:val="19A92EF1"/>
    <w:multiLevelType w:val="singleLevel"/>
    <w:tmpl w:val="19A92EF1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4452689D"/>
    <w:multiLevelType w:val="singleLevel"/>
    <w:tmpl w:val="4452689D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6B02913A"/>
    <w:multiLevelType w:val="singleLevel"/>
    <w:tmpl w:val="6B02913A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2JhZDQxYjQ5MWQ4ZWNkODk1ZGEwM2M2N2VlZmUyNjQifQ=="/>
  </w:docVars>
  <w:rsids>
    <w:rsidRoot w:val="3A5371EC"/>
    <w:rsid w:val="00186EB5"/>
    <w:rsid w:val="009B2259"/>
    <w:rsid w:val="021E4C16"/>
    <w:rsid w:val="03392ECB"/>
    <w:rsid w:val="06477FAD"/>
    <w:rsid w:val="0EF254B7"/>
    <w:rsid w:val="0F5B672C"/>
    <w:rsid w:val="10756C98"/>
    <w:rsid w:val="12256348"/>
    <w:rsid w:val="16374CFC"/>
    <w:rsid w:val="16D0189C"/>
    <w:rsid w:val="16E00E81"/>
    <w:rsid w:val="1873656A"/>
    <w:rsid w:val="1D2D6827"/>
    <w:rsid w:val="1E6C3CB2"/>
    <w:rsid w:val="2154073D"/>
    <w:rsid w:val="22ED0C96"/>
    <w:rsid w:val="24FD75E9"/>
    <w:rsid w:val="2555342B"/>
    <w:rsid w:val="274C283B"/>
    <w:rsid w:val="293E26DE"/>
    <w:rsid w:val="2EAC3EF0"/>
    <w:rsid w:val="3409071F"/>
    <w:rsid w:val="34FA2464"/>
    <w:rsid w:val="35185C8B"/>
    <w:rsid w:val="39F92B9B"/>
    <w:rsid w:val="3A5371EC"/>
    <w:rsid w:val="3D366C06"/>
    <w:rsid w:val="41A73354"/>
    <w:rsid w:val="44147CCE"/>
    <w:rsid w:val="45C93BA6"/>
    <w:rsid w:val="468A5D50"/>
    <w:rsid w:val="46DF79DD"/>
    <w:rsid w:val="4F675498"/>
    <w:rsid w:val="530D0CA9"/>
    <w:rsid w:val="543C792C"/>
    <w:rsid w:val="54995ADF"/>
    <w:rsid w:val="59240440"/>
    <w:rsid w:val="5AF6453E"/>
    <w:rsid w:val="5E213478"/>
    <w:rsid w:val="5E910628"/>
    <w:rsid w:val="624E4651"/>
    <w:rsid w:val="63604AB4"/>
    <w:rsid w:val="63BB57EE"/>
    <w:rsid w:val="6977747B"/>
    <w:rsid w:val="6CEA21C3"/>
    <w:rsid w:val="6E5B7B27"/>
    <w:rsid w:val="72EB0A43"/>
    <w:rsid w:val="733C603E"/>
    <w:rsid w:val="78A77C4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next w:val="1"/>
    <w:qFormat/>
    <w:uiPriority w:val="0"/>
    <w:pPr>
      <w:widowControl w:val="0"/>
      <w:ind w:left="420" w:left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2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jc w:val="left"/>
    </w:pPr>
    <w:rPr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character" w:styleId="11">
    <w:name w:val="FollowedHyperlink"/>
    <w:basedOn w:val="8"/>
    <w:qFormat/>
    <w:uiPriority w:val="0"/>
    <w:rPr>
      <w:color w:val="333333"/>
      <w:u w:val="none"/>
    </w:rPr>
  </w:style>
  <w:style w:type="character" w:styleId="12">
    <w:name w:val="Emphasis"/>
    <w:basedOn w:val="8"/>
    <w:qFormat/>
    <w:uiPriority w:val="0"/>
  </w:style>
  <w:style w:type="character" w:styleId="13">
    <w:name w:val="Hyperlink"/>
    <w:basedOn w:val="8"/>
    <w:qFormat/>
    <w:uiPriority w:val="0"/>
    <w:rPr>
      <w:color w:val="333333"/>
      <w:u w:val="none"/>
    </w:rPr>
  </w:style>
  <w:style w:type="character" w:styleId="14">
    <w:name w:val="HTML Code"/>
    <w:basedOn w:val="8"/>
    <w:qFormat/>
    <w:uiPriority w:val="0"/>
    <w:rPr>
      <w:rFonts w:ascii="Courier New" w:hAnsi="Courier New"/>
      <w:sz w:val="20"/>
    </w:rPr>
  </w:style>
  <w:style w:type="character" w:customStyle="1" w:styleId="15">
    <w:name w:val="time"/>
    <w:basedOn w:val="8"/>
    <w:qFormat/>
    <w:uiPriority w:val="0"/>
    <w:rPr>
      <w:color w:val="999999"/>
      <w:sz w:val="18"/>
      <w:szCs w:val="18"/>
    </w:rPr>
  </w:style>
  <w:style w:type="character" w:customStyle="1" w:styleId="16">
    <w:name w:val="time1"/>
    <w:basedOn w:val="8"/>
    <w:qFormat/>
    <w:uiPriority w:val="0"/>
    <w:rPr>
      <w:shd w:val="clear" w:color="auto" w:fill="F5F7FB"/>
    </w:rPr>
  </w:style>
  <w:style w:type="character" w:customStyle="1" w:styleId="17">
    <w:name w:val="time2"/>
    <w:basedOn w:val="8"/>
    <w:qFormat/>
    <w:uiPriority w:val="0"/>
    <w:rPr>
      <w:color w:val="888888"/>
    </w:rPr>
  </w:style>
  <w:style w:type="character" w:customStyle="1" w:styleId="18">
    <w:name w:val="time3"/>
    <w:basedOn w:val="8"/>
    <w:qFormat/>
    <w:uiPriority w:val="0"/>
    <w:rPr>
      <w:color w:val="888888"/>
    </w:rPr>
  </w:style>
  <w:style w:type="character" w:customStyle="1" w:styleId="19">
    <w:name w:val="time4"/>
    <w:basedOn w:val="8"/>
    <w:qFormat/>
    <w:uiPriority w:val="0"/>
    <w:rPr>
      <w:color w:val="888888"/>
    </w:rPr>
  </w:style>
  <w:style w:type="character" w:customStyle="1" w:styleId="20">
    <w:name w:val="hover25"/>
    <w:basedOn w:val="8"/>
    <w:qFormat/>
    <w:uiPriority w:val="0"/>
    <w:rPr>
      <w:color w:val="000000"/>
      <w:shd w:val="clear" w:color="auto" w:fill="FFFFFF"/>
    </w:rPr>
  </w:style>
  <w:style w:type="character" w:customStyle="1" w:styleId="21">
    <w:name w:val="wx-space"/>
    <w:basedOn w:val="8"/>
    <w:qFormat/>
    <w:uiPriority w:val="0"/>
  </w:style>
  <w:style w:type="character" w:customStyle="1" w:styleId="22">
    <w:name w:val="wx-space1"/>
    <w:basedOn w:val="8"/>
    <w:qFormat/>
    <w:uiPriority w:val="0"/>
  </w:style>
  <w:style w:type="character" w:customStyle="1" w:styleId="23">
    <w:name w:val="hover"/>
    <w:basedOn w:val="8"/>
    <w:qFormat/>
    <w:uiPriority w:val="0"/>
    <w:rPr>
      <w:color w:val="000000"/>
      <w:shd w:val="clear" w:color="auto" w:fill="FFFFFF"/>
    </w:rPr>
  </w:style>
  <w:style w:type="character" w:customStyle="1" w:styleId="24">
    <w:name w:val="页眉 Char"/>
    <w:basedOn w:val="8"/>
    <w:link w:val="4"/>
    <w:qFormat/>
    <w:uiPriority w:val="0"/>
    <w:rPr>
      <w:rFonts w:ascii="Calibri" w:hAnsi="Calibri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2217</Words>
  <Characters>2400</Characters>
  <Lines>4</Lines>
  <Paragraphs>5</Paragraphs>
  <TotalTime>0</TotalTime>
  <ScaleCrop>false</ScaleCrop>
  <LinksUpToDate>false</LinksUpToDate>
  <CharactersWithSpaces>2437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2021-03-30T03:11:00Z</dcterms:created>
  <dc:creator>Administrator</dc:creator>
  <cp:lastModifiedBy>Administrator</cp:lastModifiedBy>
  <cp:lastPrinted>2022-04-24T06:39:00Z</cp:lastPrinted>
  <dcterms:modified xsi:type="dcterms:W3CDTF">2023-03-16T02:38:37Z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F8ED1EBFEB314E5193887A11CBB42A56</vt:lpwstr>
  </property>
</Properties>
</file>