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附件2</w:t>
      </w:r>
    </w:p>
    <w:p>
      <w:pPr>
        <w:pStyle w:val="2"/>
        <w:ind w:left="0" w:leftChars="0" w:firstLine="0" w:firstLineChars="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黑体_GBK" w:hAnsi="方正黑体_GBK" w:eastAsia="方正黑体_GBK" w:cs="方正黑体_GBK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bookmarkStart w:id="0" w:name="_GoBack"/>
      <w:r>
        <w:rPr>
          <w:rFonts w:hint="eastAsia" w:ascii="方正黑体_GBK" w:hAnsi="方正黑体_GBK" w:eastAsia="方正黑体_GBK" w:cs="方正黑体_GBK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关于《益阳市探索审批监管联动改革实施方案（代拟稿）》的起草说明</w:t>
      </w:r>
    </w:p>
    <w:bookmarkEnd w:id="0"/>
    <w:p>
      <w:pPr>
        <w:pStyle w:val="2"/>
        <w:rPr>
          <w:rFonts w:hint="eastAsia" w:ascii="方正黑体_GBK" w:hAnsi="方正黑体_GBK" w:eastAsia="方正黑体_GBK" w:cs="方正黑体_GBK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p>
      <w:pPr>
        <w:pStyle w:val="2"/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为贯彻落实上级文件要求，构建起审批、监管有效衔接、协同联动的运行机制，益阳市行政审批服务局牵头组织起草了《益阳市探索审批监管联动改革实施方案（代拟稿）》。现将有关情况说明如下：</w:t>
      </w:r>
    </w:p>
    <w:p>
      <w:pPr>
        <w:pStyle w:val="2"/>
        <w:rPr>
          <w:rFonts w:hint="eastAsia" w:ascii="方正仿宋_GBK" w:hAnsi="方正仿宋_GBK" w:eastAsia="方正仿宋_GBK" w:cs="方正仿宋_GBK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一、起草背景</w:t>
      </w:r>
    </w:p>
    <w:p>
      <w:pPr>
        <w:pStyle w:val="2"/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（一）深化改革有实际需要。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近年来，我市持续开展“三集中三到位”改革、相对集中行政许可权改革、下放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经济社会管理权限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等工作，强力优化营商环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>境，助推经济高质量发展。同时，因审批与监管相对分离，联动衔接不足，出现了审批主体和监管主体之间对接不顺畅、运行机制不完、批后监管不及时等问题。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同时，探索跨部门审批监管联动改革作为益阳市今年承接的湖南省“放管服”改革“揭榜竞优”的一项重要任务，也需要出台相关的实施方案。</w:t>
      </w:r>
    </w:p>
    <w:p>
      <w:pPr>
        <w:numPr>
          <w:ilvl w:val="0"/>
          <w:numId w:val="0"/>
        </w:num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（二）上级有明确工作要求。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国务院、省明确要求规范审批监管协同，即按照“谁审批、谁监管，谁主管、谁监管”原则，健全审管衔接机制，审批主体应将有关办理信息和结果同步告知监管部门，监管主体应将行政检查、行政处罚等监管信息反馈审批部门，实现审批和监管信息实时共享。</w:t>
      </w:r>
    </w:p>
    <w:p>
      <w:pPr>
        <w:numPr>
          <w:ilvl w:val="0"/>
          <w:numId w:val="0"/>
        </w:num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（三）外地有成功经验做法。山东、天津等地已有</w:t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审批监管联动改革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先行先试经验，我省其他兄弟市州也在积极探索，为了使我市工作不落后、不被动，《</w:t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实施方案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》起草过程中，我们积极汲取了外地好的经验做法。</w:t>
      </w:r>
    </w:p>
    <w:p>
      <w:pPr>
        <w:pStyle w:val="2"/>
        <w:rPr>
          <w:rFonts w:hint="eastAsia" w:ascii="方正仿宋_GBK" w:hAnsi="方正仿宋_GBK" w:eastAsia="方正仿宋_GBK" w:cs="方正仿宋_GBK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二、相关依据</w:t>
      </w:r>
    </w:p>
    <w:p>
      <w:pPr>
        <w:numPr>
          <w:ilvl w:val="0"/>
          <w:numId w:val="0"/>
        </w:num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1.《国务院关于加快推进政务服务标准化规范化便利化的指导意见》（国发〔2022〕5号）</w:t>
      </w:r>
    </w:p>
    <w:p>
      <w:pPr>
        <w:numPr>
          <w:ilvl w:val="0"/>
          <w:numId w:val="0"/>
        </w:num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2.湖南省人民政府办公厅《关于印发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>&lt;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湖南省政务服务中心管理办法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>&gt;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的通知》（湘政办发〔2022〕36号）</w:t>
      </w:r>
    </w:p>
    <w:p>
      <w:pPr>
        <w:numPr>
          <w:ilvl w:val="0"/>
          <w:numId w:val="0"/>
        </w:num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3.《国务院关于加强和规范事中事后监管的指导意见》（国发〔2019〕18号）</w:t>
      </w:r>
    </w:p>
    <w:p>
      <w:pPr>
        <w:numPr>
          <w:ilvl w:val="0"/>
          <w:numId w:val="0"/>
        </w:numPr>
        <w:ind w:firstLine="640" w:firstLineChars="200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4.湖南省人民政府办公厅《关于印发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" w:eastAsia="zh-CN"/>
        </w:rPr>
        <w:t>&lt;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湖南省加强和规范事中事后监管实施方案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" w:eastAsia="zh-CN"/>
        </w:rPr>
        <w:t>&gt;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的通知》（湘政办发〔2020〕48号）</w:t>
      </w:r>
    </w:p>
    <w:p>
      <w:pPr>
        <w:pStyle w:val="2"/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三、主要内容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《实施方案》共分指导思想、工作目标、主要任务、工作要求等四部分。第三部分主要任务是方案重点，有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5个方面内容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：一是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建立</w:t>
      </w:r>
      <w:r>
        <w:rPr>
          <w:rFonts w:hint="default" w:ascii="方正仿宋_GBK" w:hAnsi="方正仿宋_GBK" w:eastAsia="方正仿宋_GBK" w:cs="方正仿宋_GBK"/>
          <w:kern w:val="2"/>
          <w:sz w:val="32"/>
          <w:szCs w:val="32"/>
          <w:lang w:val="en" w:eastAsia="zh-CN" w:bidi="ar-SA"/>
        </w:rPr>
        <w:t>审管联动</w:t>
      </w:r>
      <w:r>
        <w:rPr>
          <w:rFonts w:hint="default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事项清单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管理制度，按照“谁审批、谁负责、谁主管、谁监管”的原则，明确审批、监管职责边界，确保审批、监管部门能依法履行职责分工；二是建立</w:t>
      </w:r>
      <w:r>
        <w:rPr>
          <w:rFonts w:hint="default" w:ascii="方正仿宋_GBK" w:hAnsi="方正仿宋_GBK" w:eastAsia="方正仿宋_GBK" w:cs="方正仿宋_GBK"/>
          <w:kern w:val="2"/>
          <w:sz w:val="32"/>
          <w:szCs w:val="32"/>
          <w:lang w:val="en" w:eastAsia="zh-CN" w:bidi="ar-SA"/>
        </w:rPr>
        <w:t>审管联动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信息双向反馈机制，进一步理顺和规范审批、监管部门之间的信息交流，实现在业务层面无缝对接；三是构建守信激励和失信惩戒机制，规范审批信用联动的工作规范；四是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建立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" w:eastAsia="zh-CN"/>
        </w:rPr>
        <w:t>审管联动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运行推进机制，确立市政务管理服务局、市司法局、市优办三位一体的共同跟踪指导和督办机制；五是加强跨部门审管联动支撑能力建设，提升跨部门审管联动智能化水平。</w:t>
      </w:r>
    </w:p>
    <w:p>
      <w:pPr>
        <w:pStyle w:val="2"/>
        <w:ind w:left="0" w:leftChars="0" w:firstLine="0" w:firstLineChars="0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pStyle w:val="2"/>
        <w:rPr>
          <w:rFonts w:hint="default"/>
          <w:sz w:val="32"/>
          <w:szCs w:val="32"/>
          <w:lang w:val="en-US" w:eastAsia="zh-CN"/>
        </w:rPr>
      </w:pPr>
    </w:p>
    <w:p>
      <w:pPr>
        <w:rPr>
          <w:rFonts w:hint="default"/>
          <w:sz w:val="32"/>
          <w:szCs w:val="32"/>
          <w:lang w:val="en-US" w:eastAsia="zh-CN"/>
        </w:rPr>
      </w:pPr>
    </w:p>
    <w:p>
      <w:pPr>
        <w:rPr>
          <w:rFonts w:hint="default"/>
          <w:sz w:val="32"/>
          <w:szCs w:val="32"/>
          <w:lang w:val="en-US"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40B81726-2333-490E-8C55-ADEC39304C28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61E3F46B-5E68-4670-B651-55B9593A2DFA}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  <w:embedRegular r:id="rId3" w:fontKey="{C3E68BC4-19AE-4793-8F7E-C0D143A1C941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3ODJlODdiYTQ0ZDFmOWQ4MTk3NDU2YmZhODJhNzkifQ=="/>
  </w:docVars>
  <w:rsids>
    <w:rsidRoot w:val="5FAE5DDB"/>
    <w:rsid w:val="14EB27D6"/>
    <w:rsid w:val="5FAE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0"/>
    <w:pPr>
      <w:ind w:firstLine="420" w:firstLineChars="200"/>
    </w:pPr>
    <w:rPr>
      <w:szCs w:val="2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1024</Words>
  <Characters>1043</Characters>
  <Lines>0</Lines>
  <Paragraphs>0</Paragraphs>
  <TotalTime>0</TotalTime>
  <ScaleCrop>false</ScaleCrop>
  <LinksUpToDate>false</LinksUpToDate>
  <CharactersWithSpaces>1043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2023-04-25T01:06:00Z</dcterms:created>
  <dc:creator>盈盈浅笑</dc:creator>
  <cp:lastModifiedBy>盈盈浅笑</cp:lastModifiedBy>
  <dcterms:modified xsi:type="dcterms:W3CDTF">2023-04-25T01:07:02Z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6A28048743E349DCB0D66401F2940F23</vt:lpwstr>
  </property>
</Properties>
</file>