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100" w:hanging="1100" w:hangingChars="25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u w:val="single"/>
        </w:rPr>
        <w:t xml:space="preserve">     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 xml:space="preserve">月份 </w:t>
      </w: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市直单位“互联网+政务服务”工作月度绩效评估表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605"/>
        <w:gridCol w:w="595"/>
        <w:gridCol w:w="598"/>
        <w:gridCol w:w="595"/>
        <w:gridCol w:w="595"/>
        <w:gridCol w:w="667"/>
        <w:gridCol w:w="826"/>
        <w:gridCol w:w="567"/>
        <w:gridCol w:w="508"/>
        <w:gridCol w:w="611"/>
        <w:gridCol w:w="614"/>
        <w:gridCol w:w="651"/>
        <w:gridCol w:w="648"/>
        <w:gridCol w:w="795"/>
        <w:gridCol w:w="446"/>
        <w:gridCol w:w="402"/>
        <w:gridCol w:w="707"/>
        <w:gridCol w:w="570"/>
        <w:gridCol w:w="564"/>
        <w:gridCol w:w="1172"/>
        <w:gridCol w:w="629"/>
        <w:gridCol w:w="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序号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单位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事项发布情况</w:t>
            </w:r>
          </w:p>
        </w:tc>
        <w:tc>
          <w:tcPr>
            <w:tcW w:w="2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事项进驻综合性大厅情况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综合办理情况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网上办理情况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“一件事一次办”情况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效能监察情况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  <w:jc w:val="center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发布数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发布率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进驻数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进驻率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一窗分类受理率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“最多跑一次”率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总办结数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按时办结率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即办件数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即办件率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网上用户注册数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网上办件申报数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网上办结率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二、三级深度可办率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四级深度可办率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事项数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实现数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网上咨询投诉未按时回复数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黄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红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市发展和改革委员会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市教育局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市科学技术局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市工业和信息化局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市公安局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市民政局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市司法局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市自然资源和规划局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市生态环境局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市住房和城乡建设局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市水利局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市农业农村局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市文化旅游广电体育局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市卫生健康委员会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市退役军人事务局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市应急管理局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市城市管理和综合执法局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市林业局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市市场监督管理局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市政府金融工作办公室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市医疗保障局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市城建投资公司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市税务局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市气象局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市烟草局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市人力资源和社会保障局（分厅）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市公安交警支队（分厅）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市公积金中心（分厅）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5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备注：①考核单位会根据机构改革设置情况进行动态调整；②一窗分类受理是指入驻单位根据业务繁易及关联度，分类设置不同类型的受理窗口；③网上用户注册数是指企业和群众通过网站、APP端、微信等入口进行的注册数;④考核指标会根据省“互联网+政务服务”工作月度绩效评估表实行动态调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31A8"/>
    <w:rsid w:val="72B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2019-12-04T02:21:00Z</dcterms:created>
  <dc:creator>Volar</dc:creator>
  <cp:lastModifiedBy>Volar</cp:lastModifiedBy>
  <dcterms:modified xsi:type="dcterms:W3CDTF">2019-12-04T02:25:18Z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